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5" w:rsidRPr="000729F5" w:rsidRDefault="000729F5" w:rsidP="000729F5">
      <w:pPr>
        <w:spacing w:after="300"/>
        <w:jc w:val="left"/>
        <w:outlineLvl w:val="2"/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</w:pPr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Взаимосвязь HL А-антигенов локусов</w:t>
      </w:r>
      <w:proofErr w:type="gramStart"/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А</w:t>
      </w:r>
      <w:proofErr w:type="gramEnd"/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И В у больных с профессиональной патологией легких и хронической </w:t>
      </w:r>
      <w:proofErr w:type="spellStart"/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обструктивной</w:t>
      </w:r>
      <w:proofErr w:type="spellEnd"/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болезнью легких. 2010г. А.И. Косов, Е.В. </w:t>
      </w:r>
      <w:proofErr w:type="spellStart"/>
      <w:r w:rsidRPr="000729F5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Брыляева</w:t>
      </w:r>
      <w:proofErr w:type="spellEnd"/>
    </w:p>
    <w:p w:rsidR="000729F5" w:rsidRPr="000729F5" w:rsidRDefault="000729F5" w:rsidP="000729F5">
      <w:pPr>
        <w:jc w:val="center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АКТУАЛЬНЫЕ ВОПРОСЫ ТРАНСФУЗИОЛОГИИ И КЛИНИЧЕСКОЙ МЕДИЦИНЫ.</w:t>
      </w:r>
    </w:p>
    <w:p w:rsidR="000729F5" w:rsidRPr="000729F5" w:rsidRDefault="000729F5" w:rsidP="000729F5">
      <w:pPr>
        <w:jc w:val="center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Всероссийская научн</w:t>
      </w:r>
      <w:proofErr w:type="gramStart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о-</w:t>
      </w:r>
      <w:proofErr w:type="gramEnd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 xml:space="preserve"> практическая конференция, посвященная 50- </w:t>
      </w:r>
      <w:proofErr w:type="spellStart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летию</w:t>
      </w:r>
      <w:proofErr w:type="spellEnd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 xml:space="preserve"> ФГУ «Кировский научно- исследовательский </w:t>
      </w:r>
      <w:proofErr w:type="spellStart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иститут</w:t>
      </w:r>
      <w:proofErr w:type="spellEnd"/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 xml:space="preserve"> гематологии и переливания крови ФМБА России» с международным участием.</w:t>
      </w:r>
    </w:p>
    <w:p w:rsidR="000729F5" w:rsidRPr="000729F5" w:rsidRDefault="000729F5" w:rsidP="000729F5">
      <w:pPr>
        <w:spacing w:after="240"/>
        <w:jc w:val="center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6- 7 октября 2010 года.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 xml:space="preserve">А.И. Косов, Е.В.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Брыляева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b/>
          <w:bCs/>
          <w:color w:val="3B3529"/>
          <w:sz w:val="36"/>
          <w:szCs w:val="36"/>
          <w:lang w:eastAsia="ru-RU"/>
        </w:rPr>
        <w:t xml:space="preserve">ВЗАИМОСВЯЗЬ HLА-АНТИГЕНОВ ЛОКУСОВ А И </w:t>
      </w:r>
      <w:proofErr w:type="gramStart"/>
      <w:r w:rsidRPr="000729F5">
        <w:rPr>
          <w:rFonts w:ascii="Arial" w:eastAsia="Times New Roman" w:hAnsi="Arial" w:cs="Arial"/>
          <w:b/>
          <w:bCs/>
          <w:color w:val="3B3529"/>
          <w:sz w:val="36"/>
          <w:szCs w:val="36"/>
          <w:lang w:eastAsia="ru-RU"/>
        </w:rPr>
        <w:t>В</w:t>
      </w:r>
      <w:proofErr w:type="gramEnd"/>
      <w:r w:rsidRPr="000729F5">
        <w:rPr>
          <w:rFonts w:ascii="Arial" w:eastAsia="Times New Roman" w:hAnsi="Arial" w:cs="Arial"/>
          <w:b/>
          <w:bCs/>
          <w:color w:val="3B3529"/>
          <w:sz w:val="36"/>
          <w:szCs w:val="36"/>
          <w:lang w:eastAsia="ru-RU"/>
        </w:rPr>
        <w:t xml:space="preserve"> </w:t>
      </w:r>
      <w:proofErr w:type="gramStart"/>
      <w:r w:rsidRPr="000729F5">
        <w:rPr>
          <w:rFonts w:ascii="Arial" w:eastAsia="Times New Roman" w:hAnsi="Arial" w:cs="Arial"/>
          <w:b/>
          <w:bCs/>
          <w:color w:val="3B3529"/>
          <w:sz w:val="36"/>
          <w:szCs w:val="36"/>
          <w:lang w:eastAsia="ru-RU"/>
        </w:rPr>
        <w:t>У</w:t>
      </w:r>
      <w:proofErr w:type="gramEnd"/>
      <w:r w:rsidRPr="000729F5">
        <w:rPr>
          <w:rFonts w:ascii="Arial" w:eastAsia="Times New Roman" w:hAnsi="Arial" w:cs="Arial"/>
          <w:b/>
          <w:bCs/>
          <w:color w:val="3B3529"/>
          <w:sz w:val="36"/>
          <w:szCs w:val="36"/>
          <w:lang w:eastAsia="ru-RU"/>
        </w:rPr>
        <w:t xml:space="preserve"> БОЛЬНЫХ С ПРОФЕССИОНАЛЬНОЙ ПАТОЛОГИЕЙ ЛЕГКИХ И ХРОНИЧЕСКОЙ ОБСТРУКТИВНОЙ БОЛЕЗНЬЮ ЛЕГКИХ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ГУЗ Ульяновская областная станция переливания крови</w:t>
      </w:r>
    </w:p>
    <w:p w:rsidR="001D1F39" w:rsidRDefault="000729F5" w:rsidP="000729F5"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         Было замечено, что носительство определенных HLA-антигенов у людей повышено при некоторых болезнях, что свидетельствует о генетической предрасположенности человека к той или иной форме заболевания. Направление «HLA и болезни» способствовало уточнению этиологии и патогенеза многих заболеваний, внесло практический вклад в дифференциальную диагностику ряда заболеваний (Хаитов Р.М.,2001). Отдельные данные по HLA - типированию по хронической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обструктивной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болезни легких и профессиональных заболеваниях органов дыхания очень противоречивы, поэтому необходимо продолжение иммуногенетических исследований (HLA антигены I и II класса).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        В настоящее время первое место в структуре профессиональной заболеваемости занимают болезни, связанные с воздействием физических факторов (41,8%), затем - с воздействием промышленных аэрозолей (32,4%), химических веществ (9,65%), биологических факторов (3,6%), физических перегрузок и перенапряжения отдельных органов и систем (12,6%) (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Измеров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Н.Ф., 1998).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 xml:space="preserve">        Еще больший интерес по сравнению с давно известными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эритроцитарными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антигенами представляет определение у больных с пылевыми заболеваниями легких и у лиц, работающих в условиях воздействия высоких концентраций промышленных аэрозолей, антигенного спектра наследственно детерминированной системы HLA.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 xml:space="preserve">        Таким образом, комплекс HLA является сложной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многоаллельной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системой, продукты которой играют важнейшую роль для клеточного, 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lastRenderedPageBreak/>
        <w:t>гуморального иммунитета и неспецифической резистентности организма. Нами была проанализирована частота встречаемости HLA-антигенов локусов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А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и В у лиц обследуемых групп и у здоровых доноров.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        </w:t>
      </w:r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Объектом исследования являются: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 больные с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профессинальной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патологией легких больные с ХОБЛ (хроническая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обструктивная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болезнь легких) и здоровые доноры - группа сравнения, не имевших на момент обследования признаков иммунопатологических процессов (аллергия, аутоиммунная, онкологическая патология) и заболеваний легких,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протипированных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на Самарской областной станции переливания крови.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        У пациентов с хроническим пылевым бронхитом чаще, чем в контрольной группе, встречался антиген А10, редко - А11, вообще не обнаружен антиген А19.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У больных с силикотуберкулезом повышена частота встречаемости антигена A3, снижена частота встречаемости антигенов А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9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, А10, не обнаружены антигены А19, А25. При интерстициальной форме силикоза отмечается снижение частоты A3 и повышение - HLA-A28. У больных пневмокониозом от действия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малофиброгенньгх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пылевых частиц выявлено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по¬вышение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частоты встречаемости антигенов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All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, А28, А34, А36, не 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обнаружен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ни у одного пациента. Хронический пылевой бронхит характеризовался повышением процентной частоты встречаемости антигенов Bw4, В15, В16, В22, В41; снижением процентной частоты антигенов В13 и В44. У пациентов с силикотуберкулезом определяется снижение процента выявления антигенов В12, В17, В27, В35, В40; не обнаружены антигены В13 (в группе контроля 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обнаружен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у 12,1% доноров), В18 (контрольная группа - 11,3%) и В44 (контрольная группа 12,3%). Повышена частота встречаемости HLA-антигена В22.  При силикозе чаще, чем в контрольной группе, обнаружены нами антигены В14, В17, В18, В21; отмечается снижение процента лиц, несущих на лейкоцитах антигены В12, В35, В44.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 xml:space="preserve">        Данные результаты можно использовать для выявления критериев устойчивости и предрасположенности к развитию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силикотического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процесса. При пневмокониозе от действия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малофиброгенной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пыли смешанного характера обнаружено снижение частоты встречаемости антигенов В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7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, В44; повышение частоты обнаружения антигенов В5, В8, В14, В16, В21, В22, В35; не обнаружен в 5-й группе обследованных антиген В18 (частота встречаемости этого антигена в контрольной группе составляет 11,3%). При ХОБЛ наиболее часто встречающиеся антигены системы HLA-B5, В10, АВ (IY).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       Таким образом, устойчивость к действию промышленных аэрозолей ассоциируется с антигенами А25, A3, А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9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, В8 (перечислены в порядке убывания силы ассоциации антигена с отсутствием профессиональной патологии легких), и, наоборот, наиболее опасными в плане прогноза 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lastRenderedPageBreak/>
        <w:t>развития профессионального легочного фиброза являются HLA-антигены В35, В5, Bw4, А10, А28, В22 (перечислены в порядке убывания силы ассоциации антигена с профессиональной патологией легких).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br/>
        <w:t>     </w:t>
      </w:r>
      <w:r w:rsidRPr="000729F5">
        <w:rPr>
          <w:rFonts w:ascii="Arial" w:eastAsia="Times New Roman" w:hAnsi="Arial" w:cs="Arial"/>
          <w:b/>
          <w:bCs/>
          <w:color w:val="3B3529"/>
          <w:sz w:val="27"/>
          <w:szCs w:val="27"/>
          <w:lang w:eastAsia="ru-RU"/>
        </w:rPr>
        <w:t> Вывод</w:t>
      </w:r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: результаты проведенного типирования клеток крови (эритроцитов, лейкоцитов) позволяют сделать вывод о том, что иммуногенетический скрининг индивидуальной чувствительности респираторного тракта к действию промышленных аэрозолей различной степени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фиброгенности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является моделью для разработки и внедрения медико-генетической концепции прогнозирования развития и первичной профилактики, как профессиональных заболеваний органов </w:t>
      </w:r>
      <w:proofErr w:type="gram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дыхания</w:t>
      </w:r>
      <w:proofErr w:type="gram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так и хронической </w:t>
      </w:r>
      <w:proofErr w:type="spellStart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обструктивной</w:t>
      </w:r>
      <w:proofErr w:type="spellEnd"/>
      <w:r w:rsidRPr="000729F5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болезни легких.</w:t>
      </w:r>
      <w:bookmarkStart w:id="0" w:name="_GoBack"/>
      <w:bookmarkEnd w:id="0"/>
    </w:p>
    <w:sectPr w:rsidR="001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5"/>
    <w:rsid w:val="000729F5"/>
    <w:rsid w:val="001D1F39"/>
    <w:rsid w:val="00534E84"/>
    <w:rsid w:val="007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0729F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0729F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2024-04-22T06:18:00Z</dcterms:created>
  <dcterms:modified xsi:type="dcterms:W3CDTF">2024-04-22T06:18:00Z</dcterms:modified>
</cp:coreProperties>
</file>