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F5" w:rsidRPr="000729F5" w:rsidRDefault="000729F5" w:rsidP="000729F5">
      <w:pPr>
        <w:spacing w:after="300"/>
        <w:jc w:val="left"/>
        <w:outlineLvl w:val="2"/>
        <w:rPr>
          <w:rFonts w:ascii="Arial" w:eastAsia="Times New Roman" w:hAnsi="Arial" w:cs="Arial"/>
          <w:b/>
          <w:bCs/>
          <w:color w:val="3B3529"/>
          <w:sz w:val="23"/>
          <w:szCs w:val="23"/>
          <w:lang w:eastAsia="ru-RU"/>
        </w:rPr>
      </w:pPr>
      <w:r w:rsidRPr="000729F5">
        <w:rPr>
          <w:rFonts w:ascii="Arial" w:eastAsia="Times New Roman" w:hAnsi="Arial" w:cs="Arial"/>
          <w:b/>
          <w:bCs/>
          <w:color w:val="3B3529"/>
          <w:sz w:val="23"/>
          <w:szCs w:val="23"/>
          <w:lang w:eastAsia="ru-RU"/>
        </w:rPr>
        <w:t>Взаимосвязь HL А-антигенов локусов</w:t>
      </w:r>
      <w:proofErr w:type="gramStart"/>
      <w:r w:rsidRPr="000729F5">
        <w:rPr>
          <w:rFonts w:ascii="Arial" w:eastAsia="Times New Roman" w:hAnsi="Arial" w:cs="Arial"/>
          <w:b/>
          <w:bCs/>
          <w:color w:val="3B3529"/>
          <w:sz w:val="23"/>
          <w:szCs w:val="23"/>
          <w:lang w:eastAsia="ru-RU"/>
        </w:rPr>
        <w:t xml:space="preserve"> А</w:t>
      </w:r>
      <w:proofErr w:type="gramEnd"/>
      <w:r w:rsidRPr="000729F5">
        <w:rPr>
          <w:rFonts w:ascii="Arial" w:eastAsia="Times New Roman" w:hAnsi="Arial" w:cs="Arial"/>
          <w:b/>
          <w:bCs/>
          <w:color w:val="3B3529"/>
          <w:sz w:val="23"/>
          <w:szCs w:val="23"/>
          <w:lang w:eastAsia="ru-RU"/>
        </w:rPr>
        <w:t xml:space="preserve"> И В у больных с профессиональной патологией легких и хронической </w:t>
      </w:r>
      <w:proofErr w:type="spellStart"/>
      <w:r w:rsidRPr="000729F5">
        <w:rPr>
          <w:rFonts w:ascii="Arial" w:eastAsia="Times New Roman" w:hAnsi="Arial" w:cs="Arial"/>
          <w:b/>
          <w:bCs/>
          <w:color w:val="3B3529"/>
          <w:sz w:val="23"/>
          <w:szCs w:val="23"/>
          <w:lang w:eastAsia="ru-RU"/>
        </w:rPr>
        <w:t>обструктивной</w:t>
      </w:r>
      <w:proofErr w:type="spellEnd"/>
      <w:r w:rsidRPr="000729F5">
        <w:rPr>
          <w:rFonts w:ascii="Arial" w:eastAsia="Times New Roman" w:hAnsi="Arial" w:cs="Arial"/>
          <w:b/>
          <w:bCs/>
          <w:color w:val="3B3529"/>
          <w:sz w:val="23"/>
          <w:szCs w:val="23"/>
          <w:lang w:eastAsia="ru-RU"/>
        </w:rPr>
        <w:t xml:space="preserve"> болезнью легких. 2010г. А.И. Косов, Е.В. </w:t>
      </w:r>
      <w:proofErr w:type="spellStart"/>
      <w:r w:rsidRPr="000729F5">
        <w:rPr>
          <w:rFonts w:ascii="Arial" w:eastAsia="Times New Roman" w:hAnsi="Arial" w:cs="Arial"/>
          <w:b/>
          <w:bCs/>
          <w:color w:val="3B3529"/>
          <w:sz w:val="23"/>
          <w:szCs w:val="23"/>
          <w:lang w:eastAsia="ru-RU"/>
        </w:rPr>
        <w:t>Брыляева</w:t>
      </w:r>
      <w:proofErr w:type="spellEnd"/>
    </w:p>
    <w:p w:rsidR="000729F5" w:rsidRPr="000729F5" w:rsidRDefault="000729F5" w:rsidP="000729F5">
      <w:pPr>
        <w:jc w:val="center"/>
        <w:rPr>
          <w:rFonts w:ascii="Arial" w:eastAsia="Times New Roman" w:hAnsi="Arial" w:cs="Arial"/>
          <w:color w:val="3B3529"/>
          <w:sz w:val="20"/>
          <w:szCs w:val="20"/>
          <w:lang w:eastAsia="ru-RU"/>
        </w:rPr>
      </w:pPr>
      <w:r w:rsidRPr="000729F5">
        <w:rPr>
          <w:rFonts w:ascii="Arial" w:eastAsia="Times New Roman" w:hAnsi="Arial" w:cs="Arial"/>
          <w:b/>
          <w:bCs/>
          <w:color w:val="3B3529"/>
          <w:sz w:val="27"/>
          <w:szCs w:val="27"/>
          <w:lang w:eastAsia="ru-RU"/>
        </w:rPr>
        <w:t>АКТУАЛЬНЫЕ ВОПРОСЫ ТРАНСФУЗИОЛОГИИ И КЛИНИЧЕСКОЙ МЕДИЦИНЫ.</w:t>
      </w:r>
    </w:p>
    <w:p w:rsidR="000729F5" w:rsidRPr="000729F5" w:rsidRDefault="000729F5" w:rsidP="000729F5">
      <w:pPr>
        <w:jc w:val="center"/>
        <w:rPr>
          <w:rFonts w:ascii="Arial" w:eastAsia="Times New Roman" w:hAnsi="Arial" w:cs="Arial"/>
          <w:color w:val="3B3529"/>
          <w:sz w:val="20"/>
          <w:szCs w:val="20"/>
          <w:lang w:eastAsia="ru-RU"/>
        </w:rPr>
      </w:pPr>
      <w:r w:rsidRPr="000729F5">
        <w:rPr>
          <w:rFonts w:ascii="Arial" w:eastAsia="Times New Roman" w:hAnsi="Arial" w:cs="Arial"/>
          <w:b/>
          <w:bCs/>
          <w:color w:val="3B3529"/>
          <w:sz w:val="27"/>
          <w:szCs w:val="27"/>
          <w:lang w:eastAsia="ru-RU"/>
        </w:rPr>
        <w:t>Всероссийская научн</w:t>
      </w:r>
      <w:proofErr w:type="gramStart"/>
      <w:r w:rsidRPr="000729F5">
        <w:rPr>
          <w:rFonts w:ascii="Arial" w:eastAsia="Times New Roman" w:hAnsi="Arial" w:cs="Arial"/>
          <w:b/>
          <w:bCs/>
          <w:color w:val="3B3529"/>
          <w:sz w:val="27"/>
          <w:szCs w:val="27"/>
          <w:lang w:eastAsia="ru-RU"/>
        </w:rPr>
        <w:t>о-</w:t>
      </w:r>
      <w:proofErr w:type="gramEnd"/>
      <w:r w:rsidRPr="000729F5">
        <w:rPr>
          <w:rFonts w:ascii="Arial" w:eastAsia="Times New Roman" w:hAnsi="Arial" w:cs="Arial"/>
          <w:b/>
          <w:bCs/>
          <w:color w:val="3B3529"/>
          <w:sz w:val="27"/>
          <w:szCs w:val="27"/>
          <w:lang w:eastAsia="ru-RU"/>
        </w:rPr>
        <w:t xml:space="preserve"> практическая конференция, посвященная 50- </w:t>
      </w:r>
      <w:proofErr w:type="spellStart"/>
      <w:r w:rsidRPr="000729F5">
        <w:rPr>
          <w:rFonts w:ascii="Arial" w:eastAsia="Times New Roman" w:hAnsi="Arial" w:cs="Arial"/>
          <w:b/>
          <w:bCs/>
          <w:color w:val="3B3529"/>
          <w:sz w:val="27"/>
          <w:szCs w:val="27"/>
          <w:lang w:eastAsia="ru-RU"/>
        </w:rPr>
        <w:t>летию</w:t>
      </w:r>
      <w:proofErr w:type="spellEnd"/>
      <w:r w:rsidRPr="000729F5">
        <w:rPr>
          <w:rFonts w:ascii="Arial" w:eastAsia="Times New Roman" w:hAnsi="Arial" w:cs="Arial"/>
          <w:b/>
          <w:bCs/>
          <w:color w:val="3B3529"/>
          <w:sz w:val="27"/>
          <w:szCs w:val="27"/>
          <w:lang w:eastAsia="ru-RU"/>
        </w:rPr>
        <w:t xml:space="preserve"> ФГУ «Кировский научно- исследовательский </w:t>
      </w:r>
      <w:proofErr w:type="spellStart"/>
      <w:r w:rsidRPr="000729F5">
        <w:rPr>
          <w:rFonts w:ascii="Arial" w:eastAsia="Times New Roman" w:hAnsi="Arial" w:cs="Arial"/>
          <w:b/>
          <w:bCs/>
          <w:color w:val="3B3529"/>
          <w:sz w:val="27"/>
          <w:szCs w:val="27"/>
          <w:lang w:eastAsia="ru-RU"/>
        </w:rPr>
        <w:t>иститут</w:t>
      </w:r>
      <w:proofErr w:type="spellEnd"/>
      <w:r w:rsidRPr="000729F5">
        <w:rPr>
          <w:rFonts w:ascii="Arial" w:eastAsia="Times New Roman" w:hAnsi="Arial" w:cs="Arial"/>
          <w:b/>
          <w:bCs/>
          <w:color w:val="3B3529"/>
          <w:sz w:val="27"/>
          <w:szCs w:val="27"/>
          <w:lang w:eastAsia="ru-RU"/>
        </w:rPr>
        <w:t xml:space="preserve"> гематологии и переливания крови ФМБА России» с международным участием.</w:t>
      </w:r>
    </w:p>
    <w:p w:rsidR="000729F5" w:rsidRPr="000729F5" w:rsidRDefault="000729F5" w:rsidP="000729F5">
      <w:pPr>
        <w:spacing w:after="240"/>
        <w:jc w:val="center"/>
        <w:rPr>
          <w:rFonts w:ascii="Arial" w:eastAsia="Times New Roman" w:hAnsi="Arial" w:cs="Arial"/>
          <w:color w:val="3B3529"/>
          <w:sz w:val="20"/>
          <w:szCs w:val="20"/>
          <w:lang w:eastAsia="ru-RU"/>
        </w:rPr>
      </w:pPr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t>6- 7 октября 2010 года.</w:t>
      </w:r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br/>
      </w:r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br/>
        <w:t xml:space="preserve">А.И. Косов, Е.В. </w:t>
      </w:r>
      <w:proofErr w:type="spellStart"/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t>Брыляева</w:t>
      </w:r>
      <w:proofErr w:type="spellEnd"/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br/>
      </w:r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br/>
      </w:r>
      <w:r w:rsidRPr="000729F5">
        <w:rPr>
          <w:rFonts w:ascii="Arial" w:eastAsia="Times New Roman" w:hAnsi="Arial" w:cs="Arial"/>
          <w:b/>
          <w:bCs/>
          <w:color w:val="3B3529"/>
          <w:sz w:val="36"/>
          <w:szCs w:val="36"/>
          <w:lang w:eastAsia="ru-RU"/>
        </w:rPr>
        <w:t xml:space="preserve">ВЗАИМОСВЯЗЬ HLА-АНТИГЕНОВ ЛОКУСОВ А И </w:t>
      </w:r>
      <w:proofErr w:type="gramStart"/>
      <w:r w:rsidRPr="000729F5">
        <w:rPr>
          <w:rFonts w:ascii="Arial" w:eastAsia="Times New Roman" w:hAnsi="Arial" w:cs="Arial"/>
          <w:b/>
          <w:bCs/>
          <w:color w:val="3B3529"/>
          <w:sz w:val="36"/>
          <w:szCs w:val="36"/>
          <w:lang w:eastAsia="ru-RU"/>
        </w:rPr>
        <w:t>В</w:t>
      </w:r>
      <w:proofErr w:type="gramEnd"/>
      <w:r w:rsidRPr="000729F5">
        <w:rPr>
          <w:rFonts w:ascii="Arial" w:eastAsia="Times New Roman" w:hAnsi="Arial" w:cs="Arial"/>
          <w:b/>
          <w:bCs/>
          <w:color w:val="3B3529"/>
          <w:sz w:val="36"/>
          <w:szCs w:val="36"/>
          <w:lang w:eastAsia="ru-RU"/>
        </w:rPr>
        <w:t xml:space="preserve"> </w:t>
      </w:r>
      <w:proofErr w:type="gramStart"/>
      <w:r w:rsidRPr="000729F5">
        <w:rPr>
          <w:rFonts w:ascii="Arial" w:eastAsia="Times New Roman" w:hAnsi="Arial" w:cs="Arial"/>
          <w:b/>
          <w:bCs/>
          <w:color w:val="3B3529"/>
          <w:sz w:val="36"/>
          <w:szCs w:val="36"/>
          <w:lang w:eastAsia="ru-RU"/>
        </w:rPr>
        <w:t>У</w:t>
      </w:r>
      <w:proofErr w:type="gramEnd"/>
      <w:r w:rsidRPr="000729F5">
        <w:rPr>
          <w:rFonts w:ascii="Arial" w:eastAsia="Times New Roman" w:hAnsi="Arial" w:cs="Arial"/>
          <w:b/>
          <w:bCs/>
          <w:color w:val="3B3529"/>
          <w:sz w:val="36"/>
          <w:szCs w:val="36"/>
          <w:lang w:eastAsia="ru-RU"/>
        </w:rPr>
        <w:t xml:space="preserve"> БОЛЬНЫХ С ПРОФЕССИОНАЛЬНОЙ ПАТОЛОГИЕЙ ЛЕГКИХ И ХРОНИЧЕСКОЙ ОБСТРУКТИВНОЙ БОЛЕЗНЬЮ ЛЕГКИХ</w:t>
      </w:r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br/>
      </w:r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br/>
        <w:t>ГУЗ Ульяновская областная станция переливания крови</w:t>
      </w:r>
    </w:p>
    <w:p w:rsidR="001D1F39" w:rsidRDefault="000729F5" w:rsidP="000729F5"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t xml:space="preserve">         Было замечено, что носительство определенных HLA-антигенов у людей повышено при некоторых болезнях, что свидетельствует о генетической предрасположенности человека к той или иной форме заболевания. Направление «HLA и болезни» способствовало уточнению этиологии и патогенеза многих заболеваний, внесло практический вклад в дифференциальную диагностику ряда заболеваний (Хаитов Р.М.,2001). Отдельные данные по HLA - типированию по хронической </w:t>
      </w:r>
      <w:proofErr w:type="spellStart"/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t>обструктивной</w:t>
      </w:r>
      <w:proofErr w:type="spellEnd"/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t xml:space="preserve"> болезни легких и профессиональных заболеваниях органов дыхания очень противоречивы, поэтому необходимо продолжение иммуногенетических исследований (HLA антигены I и II класса).</w:t>
      </w:r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br/>
      </w:r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br/>
        <w:t>        В настоящее время первое место в структуре профессиональной заболеваемости занимают болезни, связанные с воздействием физических факторов (41,8%), затем - с воздействием промышленных аэрозолей (32,4%), химических веществ (9,65%), биологических факторов (3,6%), физических перегрузок и перенапряжения отдельных органов и систем (12,6%) (</w:t>
      </w:r>
      <w:proofErr w:type="spellStart"/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t>Измеров</w:t>
      </w:r>
      <w:proofErr w:type="spellEnd"/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t xml:space="preserve"> Н.Ф., 1998).</w:t>
      </w:r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br/>
      </w:r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br/>
        <w:t xml:space="preserve">        Еще больший интерес по сравнению с давно известными </w:t>
      </w:r>
      <w:proofErr w:type="spellStart"/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t>эритроцитарными</w:t>
      </w:r>
      <w:proofErr w:type="spellEnd"/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t xml:space="preserve"> антигенами представляет определение у больных с пылевыми заболеваниями легких и у лиц, работающих в условиях воздействия высоких концентраций промышленных аэрозолей, антигенного спектра наследственно детерминированной системы HLA.</w:t>
      </w:r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br/>
        <w:t xml:space="preserve">        Таким образом, комплекс HLA является сложной </w:t>
      </w:r>
      <w:proofErr w:type="spellStart"/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t>многоаллельной</w:t>
      </w:r>
      <w:proofErr w:type="spellEnd"/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t xml:space="preserve"> системой, продукты которой играют важнейшую роль для клеточного, </w:t>
      </w:r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lastRenderedPageBreak/>
        <w:t>гуморального иммунитета и неспецифической резистентности организма. Нами была проанализирована частота встречаемости HLA-антигенов локусов</w:t>
      </w:r>
      <w:proofErr w:type="gramStart"/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t xml:space="preserve"> А</w:t>
      </w:r>
      <w:proofErr w:type="gramEnd"/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t xml:space="preserve"> и В у лиц обследуемых групп и у здоровых доноров.</w:t>
      </w:r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br/>
      </w:r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br/>
        <w:t>        </w:t>
      </w:r>
      <w:r w:rsidRPr="000729F5">
        <w:rPr>
          <w:rFonts w:ascii="Arial" w:eastAsia="Times New Roman" w:hAnsi="Arial" w:cs="Arial"/>
          <w:b/>
          <w:bCs/>
          <w:color w:val="3B3529"/>
          <w:sz w:val="27"/>
          <w:szCs w:val="27"/>
          <w:lang w:eastAsia="ru-RU"/>
        </w:rPr>
        <w:t>Объектом исследования являются:</w:t>
      </w:r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t xml:space="preserve"> больные с </w:t>
      </w:r>
      <w:proofErr w:type="spellStart"/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t>профессинальной</w:t>
      </w:r>
      <w:proofErr w:type="spellEnd"/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t xml:space="preserve"> патологией легких больные с ХОБЛ (хроническая </w:t>
      </w:r>
      <w:proofErr w:type="spellStart"/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t>обструктивная</w:t>
      </w:r>
      <w:proofErr w:type="spellEnd"/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t xml:space="preserve"> болезнь легких) и здоровые доноры - группа сравнения, не имевших на момент обследования признаков иммунопатологических процессов (аллергия, аутоиммунная, онкологическая патология) и заболеваний легких, </w:t>
      </w:r>
      <w:proofErr w:type="spellStart"/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t>протипированных</w:t>
      </w:r>
      <w:proofErr w:type="spellEnd"/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t xml:space="preserve"> на Самарской областной станции переливания крови.</w:t>
      </w:r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br/>
      </w:r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br/>
        <w:t>        У пациентов с хроническим пылевым бронхитом чаще, чем в контрольной группе, встречался антиген А10, редко - А11, вообще не обнаружен антиген А19.</w:t>
      </w:r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br/>
        <w:t>У больных с силикотуберкулезом повышена частота встречаемости антигена A3, снижена частота встречаемости антигенов А</w:t>
      </w:r>
      <w:proofErr w:type="gramStart"/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t>9</w:t>
      </w:r>
      <w:proofErr w:type="gramEnd"/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t xml:space="preserve">, А10, не обнаружены антигены А19, А25. При интерстициальной форме силикоза отмечается снижение частоты A3 и повышение - HLA-A28. У больных пневмокониозом от действия </w:t>
      </w:r>
      <w:proofErr w:type="spellStart"/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t>малофиброгенньгх</w:t>
      </w:r>
      <w:proofErr w:type="spellEnd"/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t xml:space="preserve"> пылевых частиц выявлено </w:t>
      </w:r>
      <w:proofErr w:type="spellStart"/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t>по¬вышение</w:t>
      </w:r>
      <w:proofErr w:type="spellEnd"/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t xml:space="preserve"> частоты встречаемости антигенов </w:t>
      </w:r>
      <w:proofErr w:type="spellStart"/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t>All</w:t>
      </w:r>
      <w:proofErr w:type="spellEnd"/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t xml:space="preserve">, А28, А34, А36, не </w:t>
      </w:r>
      <w:proofErr w:type="gramStart"/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t>обнаружен</w:t>
      </w:r>
      <w:proofErr w:type="gramEnd"/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t xml:space="preserve"> ни у одного пациента. Хронический пылевой бронхит характеризовался повышением процентной частоты встречаемости антигенов Bw4, В15, В16, В22, В41; снижением процентной частоты антигенов В13 и В44. У пациентов с силикотуберкулезом определяется снижение процента выявления антигенов В12, В17, В27, В35, В40; не обнаружены антигены В13 (в группе контроля </w:t>
      </w:r>
      <w:proofErr w:type="gramStart"/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t>обнаружен</w:t>
      </w:r>
      <w:proofErr w:type="gramEnd"/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t xml:space="preserve"> у 12,1% доноров), В18 (контрольная группа - 11,3%) и В44 (контрольная группа 12,3%). Повышена частота встречаемости HLA-антигена В22.  При силикозе чаще, чем в контрольной группе, обнаружены нами антигены В14, В17, В18, В21; отмечается снижение процента лиц, несущих на лейкоцитах антигены В12, В35, В44.</w:t>
      </w:r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br/>
      </w:r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br/>
        <w:t xml:space="preserve">        Данные результаты можно использовать для выявления критериев устойчивости и предрасположенности к развитию </w:t>
      </w:r>
      <w:proofErr w:type="spellStart"/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t>силикотического</w:t>
      </w:r>
      <w:proofErr w:type="spellEnd"/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t xml:space="preserve"> процесса. При пневмокониозе от действия </w:t>
      </w:r>
      <w:proofErr w:type="spellStart"/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t>малофиброгенной</w:t>
      </w:r>
      <w:proofErr w:type="spellEnd"/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t xml:space="preserve"> пыли смешанного характера обнаружено снижение частоты встречаемости антигенов В</w:t>
      </w:r>
      <w:proofErr w:type="gramStart"/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t>7</w:t>
      </w:r>
      <w:proofErr w:type="gramEnd"/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t>, В44; повышение частоты обнаружения антигенов В5, В8, В14, В16, В21, В22, В35; не обнаружен в 5-й группе обследованных антиген В18 (частота встречаемости этого антигена в контрольной группе составляет 11,3%). При ХОБЛ наиболее часто встречающиеся антигены системы HLA-B5, В10, АВ (IY).</w:t>
      </w:r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br/>
      </w:r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br/>
        <w:t>       Таким образом, устойчивость к действию промышленных аэрозолей ассоциируется с антигенами А25, A3, А</w:t>
      </w:r>
      <w:proofErr w:type="gramStart"/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t>9</w:t>
      </w:r>
      <w:proofErr w:type="gramEnd"/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t xml:space="preserve">, В8 (перечислены в порядке убывания силы ассоциации антигена с отсутствием профессиональной патологии легких), и, наоборот, наиболее опасными в плане прогноза </w:t>
      </w:r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lastRenderedPageBreak/>
        <w:t>развития профессионального легочного фиброза являются HLA-антигены В35, В5, Bw4, А10, А28, В22 (перечислены в порядке убывания силы ассоциации антигена с профессиональной патологией легких).</w:t>
      </w:r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br/>
      </w:r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br/>
        <w:t>     </w:t>
      </w:r>
      <w:r w:rsidRPr="000729F5">
        <w:rPr>
          <w:rFonts w:ascii="Arial" w:eastAsia="Times New Roman" w:hAnsi="Arial" w:cs="Arial"/>
          <w:b/>
          <w:bCs/>
          <w:color w:val="3B3529"/>
          <w:sz w:val="27"/>
          <w:szCs w:val="27"/>
          <w:lang w:eastAsia="ru-RU"/>
        </w:rPr>
        <w:t> Вывод</w:t>
      </w:r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t xml:space="preserve">: результаты проведенного типирования клеток крови (эритроцитов, лейкоцитов) позволяют сделать вывод о том, что иммуногенетический скрининг индивидуальной чувствительности респираторного тракта к действию промышленных аэрозолей различной степени </w:t>
      </w:r>
      <w:proofErr w:type="spellStart"/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t>фиброгенности</w:t>
      </w:r>
      <w:proofErr w:type="spellEnd"/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t xml:space="preserve"> является моделью для разработки и внедрения медико-генетической концепции прогнозирования развития и первичной профилактики, как профессиональных заболеваний органов </w:t>
      </w:r>
      <w:proofErr w:type="gramStart"/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t>дыхания</w:t>
      </w:r>
      <w:proofErr w:type="gramEnd"/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t xml:space="preserve"> так и хронической </w:t>
      </w:r>
      <w:proofErr w:type="spellStart"/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t>обструктивной</w:t>
      </w:r>
      <w:proofErr w:type="spellEnd"/>
      <w:r w:rsidRPr="000729F5">
        <w:rPr>
          <w:rFonts w:ascii="Arial" w:eastAsia="Times New Roman" w:hAnsi="Arial" w:cs="Arial"/>
          <w:color w:val="3B3529"/>
          <w:sz w:val="27"/>
          <w:szCs w:val="27"/>
          <w:lang w:eastAsia="ru-RU"/>
        </w:rPr>
        <w:t xml:space="preserve"> болезни легких.</w:t>
      </w:r>
      <w:bookmarkStart w:id="0" w:name="_GoBack"/>
      <w:bookmarkEnd w:id="0"/>
    </w:p>
    <w:sectPr w:rsidR="001D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F5"/>
    <w:rsid w:val="000729F5"/>
    <w:rsid w:val="001D1F39"/>
    <w:rsid w:val="00534E84"/>
    <w:rsid w:val="0079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84"/>
  </w:style>
  <w:style w:type="paragraph" w:styleId="3">
    <w:name w:val="heading 3"/>
    <w:basedOn w:val="a"/>
    <w:link w:val="30"/>
    <w:uiPriority w:val="9"/>
    <w:qFormat/>
    <w:rsid w:val="000729F5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E8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729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84"/>
  </w:style>
  <w:style w:type="paragraph" w:styleId="3">
    <w:name w:val="heading 3"/>
    <w:basedOn w:val="a"/>
    <w:link w:val="30"/>
    <w:uiPriority w:val="9"/>
    <w:qFormat/>
    <w:rsid w:val="000729F5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E8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729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8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2024-04-22T06:18:00Z</dcterms:created>
  <dcterms:modified xsi:type="dcterms:W3CDTF">2024-04-22T06:18:00Z</dcterms:modified>
</cp:coreProperties>
</file>