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49" w:rsidRPr="00837C49" w:rsidRDefault="00837C49" w:rsidP="00837C49">
      <w:pPr>
        <w:spacing w:after="300"/>
        <w:jc w:val="left"/>
        <w:outlineLvl w:val="2"/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</w:pPr>
      <w:proofErr w:type="spellStart"/>
      <w:r w:rsidRPr="00837C49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Криоконсервированные</w:t>
      </w:r>
      <w:proofErr w:type="spellEnd"/>
      <w:r w:rsidRPr="00837C49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эритроциты: их преимущество. 2010г. Е.В </w:t>
      </w:r>
      <w:proofErr w:type="spellStart"/>
      <w:r w:rsidRPr="00837C49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Брыляева</w:t>
      </w:r>
      <w:proofErr w:type="spellEnd"/>
      <w:r w:rsidRPr="00837C49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., Н.Г. Антонова</w:t>
      </w:r>
    </w:p>
    <w:p w:rsidR="00837C49" w:rsidRPr="00837C49" w:rsidRDefault="00837C49" w:rsidP="00837C49">
      <w:pPr>
        <w:spacing w:line="240" w:lineRule="atLeast"/>
        <w:ind w:left="840"/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АКТУАЛЬНЫЕ ВОПРОСЫ</w:t>
      </w:r>
    </w:p>
    <w:p w:rsidR="00837C49" w:rsidRPr="00837C49" w:rsidRDefault="00837C49" w:rsidP="00837C49">
      <w:pPr>
        <w:spacing w:line="240" w:lineRule="atLeast"/>
        <w:ind w:left="840"/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ТРАНСФУЗИОЛОГИИ И КЛИНИЧЕСКОЙ МЕДИЦИНЫ.</w:t>
      </w:r>
    </w:p>
    <w:p w:rsidR="00837C49" w:rsidRPr="00837C49" w:rsidRDefault="00837C49" w:rsidP="00837C49">
      <w:pPr>
        <w:spacing w:line="240" w:lineRule="atLeast"/>
        <w:ind w:left="840"/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Всероссийская научн</w:t>
      </w:r>
      <w:proofErr w:type="gramStart"/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о-</w:t>
      </w:r>
      <w:proofErr w:type="gramEnd"/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 xml:space="preserve"> практическая конференция, посвященная 50- </w:t>
      </w:r>
      <w:proofErr w:type="spellStart"/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летию</w:t>
      </w:r>
      <w:proofErr w:type="spellEnd"/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 xml:space="preserve"> ФГУ «Кировский научно- исследовательский </w:t>
      </w:r>
      <w:proofErr w:type="spellStart"/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иститут</w:t>
      </w:r>
      <w:proofErr w:type="spellEnd"/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 xml:space="preserve"> гематологии и переливания крови ФМБА России» с международным участием.</w:t>
      </w:r>
    </w:p>
    <w:p w:rsidR="00837C49" w:rsidRPr="00837C49" w:rsidRDefault="00837C49" w:rsidP="00837C49">
      <w:pPr>
        <w:spacing w:line="240" w:lineRule="atLeast"/>
        <w:ind w:left="840"/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b/>
          <w:bCs/>
          <w:color w:val="3B3529"/>
          <w:sz w:val="20"/>
          <w:szCs w:val="20"/>
          <w:lang w:eastAsia="ru-RU"/>
        </w:rPr>
        <w:t>6- 7 октября 2010 года.</w:t>
      </w:r>
    </w:p>
    <w:p w:rsidR="00837C49" w:rsidRPr="00837C49" w:rsidRDefault="00837C49" w:rsidP="00837C49">
      <w:pPr>
        <w:spacing w:line="240" w:lineRule="atLeast"/>
        <w:ind w:left="840"/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2B271E"/>
          <w:sz w:val="20"/>
          <w:szCs w:val="20"/>
          <w:lang w:eastAsia="ru-RU"/>
        </w:rPr>
        <w:t> </w:t>
      </w:r>
    </w:p>
    <w:p w:rsidR="00837C49" w:rsidRPr="00837C49" w:rsidRDefault="00837C49" w:rsidP="00837C49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i/>
          <w:iCs/>
          <w:color w:val="3B3529"/>
          <w:sz w:val="36"/>
          <w:szCs w:val="36"/>
          <w:lang w:eastAsia="ru-RU"/>
        </w:rPr>
        <w:t xml:space="preserve">Е.В </w:t>
      </w:r>
      <w:proofErr w:type="spellStart"/>
      <w:r w:rsidRPr="00837C49">
        <w:rPr>
          <w:rFonts w:ascii="Times New Roman" w:eastAsia="Times New Roman" w:hAnsi="Times New Roman" w:cs="Times New Roman"/>
          <w:i/>
          <w:iCs/>
          <w:color w:val="3B3529"/>
          <w:sz w:val="36"/>
          <w:szCs w:val="36"/>
          <w:lang w:eastAsia="ru-RU"/>
        </w:rPr>
        <w:t>Брыляева</w:t>
      </w:r>
      <w:proofErr w:type="spellEnd"/>
      <w:r w:rsidRPr="00837C49">
        <w:rPr>
          <w:rFonts w:ascii="Times New Roman" w:eastAsia="Times New Roman" w:hAnsi="Times New Roman" w:cs="Times New Roman"/>
          <w:i/>
          <w:iCs/>
          <w:color w:val="3B3529"/>
          <w:sz w:val="36"/>
          <w:szCs w:val="36"/>
          <w:lang w:eastAsia="ru-RU"/>
        </w:rPr>
        <w:t>., Н.Г. Антонова</w:t>
      </w:r>
    </w:p>
    <w:p w:rsidR="00837C49" w:rsidRPr="00837C49" w:rsidRDefault="00837C49" w:rsidP="00837C49">
      <w:pPr>
        <w:jc w:val="center"/>
        <w:outlineLvl w:val="0"/>
        <w:rPr>
          <w:rFonts w:ascii="Arial" w:eastAsia="Times New Roman" w:hAnsi="Arial" w:cs="Arial"/>
          <w:b/>
          <w:bCs/>
          <w:color w:val="3B3529"/>
          <w:kern w:val="36"/>
          <w:sz w:val="48"/>
          <w:szCs w:val="48"/>
          <w:lang w:eastAsia="ru-RU"/>
        </w:rPr>
      </w:pPr>
      <w:r w:rsidRPr="00837C49">
        <w:rPr>
          <w:rFonts w:ascii="Arial" w:eastAsia="Times New Roman" w:hAnsi="Arial" w:cs="Arial"/>
          <w:b/>
          <w:bCs/>
          <w:color w:val="3B3529"/>
          <w:kern w:val="36"/>
          <w:sz w:val="48"/>
          <w:szCs w:val="48"/>
          <w:lang w:eastAsia="ru-RU"/>
        </w:rPr>
        <w:t>КРИОКОНСЕРВИРОВАННЫЕ ЭРИТРОЦИТЫ: ИХ ПРЕИМУЩЕСТВО</w:t>
      </w:r>
    </w:p>
    <w:p w:rsidR="00837C49" w:rsidRPr="00837C49" w:rsidRDefault="00837C49" w:rsidP="00837C49">
      <w:pPr>
        <w:jc w:val="center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r w:rsidRPr="00837C49">
        <w:rPr>
          <w:rFonts w:ascii="Arial" w:eastAsia="Times New Roman" w:hAnsi="Arial" w:cs="Arial"/>
          <w:color w:val="3B3529"/>
          <w:sz w:val="20"/>
          <w:szCs w:val="20"/>
          <w:lang w:eastAsia="ru-RU"/>
        </w:rPr>
        <w:t>ГУЗ Ульяновская областная станция переливания крови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С ноября 2008 года на Ульяновской областной станции переливания крови внедряется метод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криоконсервации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клеток крови и формирование банка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карантинизированных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эритро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цитов</w:t>
      </w:r>
      <w:proofErr w:type="spellEnd"/>
      <w:proofErr w:type="gram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, эритроцитов редких групп, а также запаса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криоконсервированных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эритроцитов на случай возникновения чрезвычайных ситуаций.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Мы используем автоматическую систему обработки клеток АСР 215, которая может выполнять следующие процедуры:</w:t>
      </w:r>
    </w:p>
    <w:p w:rsidR="00837C49" w:rsidRPr="00837C49" w:rsidRDefault="00837C49" w:rsidP="00837C49">
      <w:pPr>
        <w:numPr>
          <w:ilvl w:val="0"/>
          <w:numId w:val="1"/>
        </w:numPr>
        <w:ind w:left="300"/>
        <w:jc w:val="left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proofErr w:type="spellStart"/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Глицеринизация</w:t>
      </w:r>
      <w:proofErr w:type="spellEnd"/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: используя глицерин, подготавливаем собранную </w:t>
      </w:r>
      <w:proofErr w:type="spellStart"/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эритроцитную</w:t>
      </w:r>
      <w:proofErr w:type="spellEnd"/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массу к замораживанию.</w:t>
      </w:r>
    </w:p>
    <w:p w:rsidR="00837C49" w:rsidRPr="00837C49" w:rsidRDefault="00837C49" w:rsidP="00837C49">
      <w:pPr>
        <w:numPr>
          <w:ilvl w:val="0"/>
          <w:numId w:val="2"/>
        </w:numPr>
        <w:ind w:left="300"/>
        <w:jc w:val="left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proofErr w:type="spellStart"/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Деглицеринизация</w:t>
      </w:r>
      <w:proofErr w:type="spellEnd"/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: аппарат удаляет глицерин и внеклеточные компоненты из замороженных </w:t>
      </w:r>
      <w:proofErr w:type="spellStart"/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эритроцитных</w:t>
      </w:r>
      <w:proofErr w:type="spellEnd"/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 xml:space="preserve"> продуктов, получает взвесь эритроцитов в добавочном растворе.</w:t>
      </w:r>
    </w:p>
    <w:p w:rsidR="00837C49" w:rsidRPr="00837C49" w:rsidRDefault="00837C49" w:rsidP="00837C49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3B3529"/>
          <w:sz w:val="20"/>
          <w:szCs w:val="20"/>
          <w:lang w:eastAsia="ru-RU"/>
        </w:rPr>
      </w:pPr>
      <w:r w:rsidRPr="00837C49">
        <w:rPr>
          <w:rFonts w:ascii="Arial" w:eastAsia="Times New Roman" w:hAnsi="Arial" w:cs="Arial"/>
          <w:color w:val="3B3529"/>
          <w:sz w:val="27"/>
          <w:szCs w:val="27"/>
          <w:lang w:eastAsia="ru-RU"/>
        </w:rPr>
        <w:t>Отмывание порции эритроцитов, хранящихся в стандартных растворах антикоагулянта и добавочных растворах, для удаления плазмы и внеклеточных компонентов.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                Это оборудование имеет закрытую систему для уменьшения риска бактериальной контаминации. Использование стерильного соединения трубок при подсоединении мешка с эритроцитами к расходной системе позволяет увеличить время хранения после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деглицеринизации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и отмывки. Специальный питательный взвешивающий раствор (содержит хлорид натрия,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аденин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, глюкозу,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маннитол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) обеспечивает лучшую приживаемость донорских эритроцитов в кровяном русле пациента и сохраняет морфофункциональную полноценность эритроцитов до 72 часов (его срока годности).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Автоматическая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глицеринизация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,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деглицеринизация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и отмывка эритроцитов существенно снижает риск человеческой ошибки, переливание осуществляется с меньшим риском пациентов, также оператор может непрерывно контролировать процесс.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Показания к назначению размороженных эритроцитов аналогичны таковым при назначении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нативной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эритровзвеси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или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нативных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отмытых эритроцитов. Но при этом надо учитывать целый ряд преимуществ, которыми обладает взвесь размороженных эритроцитов.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Первым и основным преимуществом является то, что в процессе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криоконсервирования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и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деглицеринизации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из взвеси эритроцитов удаляются все другие клеточные элементы крови, вазоактивные вещества, калий и антикоагулянты, входящие в состав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lastRenderedPageBreak/>
        <w:t>гемоконсерванта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. Кроме того, </w:t>
      </w:r>
      <w:proofErr w:type="gram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в</w:t>
      </w:r>
      <w:proofErr w:type="gram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</w:t>
      </w:r>
      <w:proofErr w:type="gram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отмытой</w:t>
      </w:r>
      <w:proofErr w:type="gram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эритровзвеси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остаются наиболее устойчивые эритроциты, потому что старые и нестойкие клетки полностью удаляются на этапах подготовки к трансфузии.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Вторым важным преимуществом является то, что из взвеси размороженных эритроцитов в процессе отмывания практически полностью удаляются вирусы гепатита В. Причем, чем больше кратность отмывания, тем меньше вероятность заражения реципиента этой инфекцией при переливании ему размороженной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эритровзвеси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Третье преимущество состоит в том, что размороженные эритроциты практически лишены </w:t>
      </w:r>
      <w:r w:rsidRPr="00837C49">
        <w:rPr>
          <w:rFonts w:ascii="Times New Roman" w:eastAsia="Times New Roman" w:hAnsi="Times New Roman" w:cs="Times New Roman"/>
          <w:color w:val="2B271E"/>
          <w:sz w:val="27"/>
          <w:szCs w:val="27"/>
          <w:lang w:eastAsia="ru-RU"/>
        </w:rPr>
        <w:t> 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аллергизирующих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свойств, так как основные иммунизирующие факторы удаляются в процессе отмывания.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Учитывая то, что компонент имеет гематокрит 45-70% и практически не содержит белков плазмы &lt;0,5 г/д, он обладает меньшей вязкостью среды, в </w:t>
      </w:r>
      <w:proofErr w:type="gram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связи</w:t>
      </w:r>
      <w:proofErr w:type="gram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с чем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улучщаются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реологические свойства гемотрансфузионной среды, ее текучесть, что способствует легкой и </w:t>
      </w:r>
      <w:r w:rsidRPr="00837C49">
        <w:rPr>
          <w:rFonts w:ascii="Times New Roman" w:eastAsia="Times New Roman" w:hAnsi="Times New Roman" w:cs="Times New Roman"/>
          <w:color w:val="2B271E"/>
          <w:sz w:val="27"/>
          <w:szCs w:val="27"/>
          <w:lang w:eastAsia="ru-RU"/>
        </w:rPr>
        <w:t> </w:t>
      </w: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быстрой трансфузии. Реакции при переливании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криоконсервированных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эритроцитов регистрируются в несколько раз реже, чем при переливании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нативных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эритроцитов. Условия хранения, транспортировки, переливания размороженных и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отмьггых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эритроцитов такие же, как и у обыкновенных отмытых эритроцитов.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proofErr w:type="gram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На конец</w:t>
      </w:r>
      <w:proofErr w:type="gram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2009 года мы заморозили более 50 доз эритроцитов, 18 доз было разморожено и 15 выдано в лечебную сеть. В отделе контроля качества ГУЗ УОСПК прошли апробацию 18 доз компонента «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эритровзвесь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размороженная и отмытая, с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ресуспендирующим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раствором». Контроль качества этого компонента проводился по параметрам, которые регла</w:t>
      </w: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ментированы Национальным стандартом РФ ГОСТР «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Гематрансфузионные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среды. Требования к контролю качества», Москва, 2005 г.</w:t>
      </w:r>
    </w:p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Компонент оценивали по следующим параметрам: объем не менее 185мл,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Ht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- 45-70%; в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надосадочной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жидкости менее 0,2 г/д,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Н</w:t>
      </w:r>
      <w:proofErr w:type="gram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b</w:t>
      </w:r>
      <w:proofErr w:type="spellEnd"/>
      <w:proofErr w:type="gram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в дозе не менее 0,1x10</w:t>
      </w: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vertAlign w:val="superscript"/>
          <w:lang w:eastAsia="ru-RU"/>
        </w:rPr>
        <w:t>9</w:t>
      </w: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 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кл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, стерильность - стерильно, гемолиз не менее 0,8%.</w:t>
      </w:r>
    </w:p>
    <w:p w:rsidR="00837C49" w:rsidRPr="00837C49" w:rsidRDefault="00837C49" w:rsidP="00837C49">
      <w:pPr>
        <w:jc w:val="righ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Результаты представлены в таблице.</w:t>
      </w:r>
    </w:p>
    <w:tbl>
      <w:tblPr>
        <w:tblW w:w="985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701"/>
        <w:gridCol w:w="699"/>
        <w:gridCol w:w="2036"/>
        <w:gridCol w:w="1868"/>
      </w:tblGrid>
      <w:tr w:rsidR="00B11FFF" w:rsidRPr="00837C49" w:rsidTr="00B11FFF">
        <w:tc>
          <w:tcPr>
            <w:tcW w:w="3552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shd w:val="clear" w:color="auto" w:fill="DBDC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b/>
                <w:bCs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b/>
                <w:bCs/>
                <w:color w:val="3B3529"/>
                <w:sz w:val="27"/>
                <w:szCs w:val="27"/>
                <w:lang w:eastAsia="ru-RU"/>
              </w:rPr>
              <w:t>Параметры/значения</w:t>
            </w:r>
          </w:p>
        </w:tc>
        <w:tc>
          <w:tcPr>
            <w:tcW w:w="2400" w:type="dxa"/>
            <w:gridSpan w:val="2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shd w:val="clear" w:color="auto" w:fill="DBDC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b/>
                <w:bCs/>
                <w:color w:val="3B3529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37C49">
              <w:rPr>
                <w:rFonts w:ascii="Arial" w:eastAsia="Times New Roman" w:hAnsi="Arial" w:cs="Arial"/>
                <w:b/>
                <w:bCs/>
                <w:color w:val="3B3529"/>
                <w:sz w:val="27"/>
                <w:szCs w:val="27"/>
                <w:lang w:eastAsia="ru-RU"/>
              </w:rPr>
              <w:t>Максимальное</w:t>
            </w:r>
          </w:p>
        </w:tc>
        <w:tc>
          <w:tcPr>
            <w:tcW w:w="2036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shd w:val="clear" w:color="auto" w:fill="DBDC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b/>
                <w:bCs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b/>
                <w:bCs/>
                <w:color w:val="3B3529"/>
                <w:sz w:val="27"/>
                <w:szCs w:val="27"/>
                <w:lang w:eastAsia="ru-RU"/>
              </w:rPr>
              <w:t>Минимальное</w:t>
            </w:r>
          </w:p>
        </w:tc>
        <w:tc>
          <w:tcPr>
            <w:tcW w:w="1868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shd w:val="clear" w:color="auto" w:fill="DBDC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b/>
                <w:bCs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b/>
                <w:bCs/>
                <w:color w:val="3B3529"/>
                <w:sz w:val="27"/>
                <w:szCs w:val="27"/>
                <w:lang w:eastAsia="ru-RU"/>
              </w:rPr>
              <w:t>среднее</w:t>
            </w:r>
          </w:p>
        </w:tc>
      </w:tr>
      <w:tr w:rsidR="00B11FFF" w:rsidRPr="00837C49" w:rsidTr="00B11FFF">
        <w:tc>
          <w:tcPr>
            <w:tcW w:w="3552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left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Объем в мл</w:t>
            </w:r>
          </w:p>
        </w:tc>
        <w:tc>
          <w:tcPr>
            <w:tcW w:w="4436" w:type="dxa"/>
            <w:gridSpan w:val="3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310-280</w:t>
            </w:r>
          </w:p>
        </w:tc>
        <w:tc>
          <w:tcPr>
            <w:tcW w:w="1868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291</w:t>
            </w:r>
          </w:p>
        </w:tc>
      </w:tr>
      <w:tr w:rsidR="00B11FFF" w:rsidRPr="00837C49" w:rsidTr="00B11FFF">
        <w:tc>
          <w:tcPr>
            <w:tcW w:w="3552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left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proofErr w:type="spellStart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Ht</w:t>
            </w:r>
            <w:proofErr w:type="spellEnd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735" w:type="dxa"/>
            <w:gridSpan w:val="2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868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51</w:t>
            </w:r>
          </w:p>
        </w:tc>
      </w:tr>
      <w:tr w:rsidR="00B11FFF" w:rsidRPr="00837C49" w:rsidTr="00B11FFF">
        <w:tc>
          <w:tcPr>
            <w:tcW w:w="3552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left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proofErr w:type="spellStart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Hb</w:t>
            </w:r>
            <w:proofErr w:type="spellEnd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надосадочной</w:t>
            </w:r>
            <w:proofErr w:type="spellEnd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 xml:space="preserve"> жидкости менее </w:t>
            </w:r>
            <w:proofErr w:type="gramStart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г</w:t>
            </w:r>
            <w:proofErr w:type="gramEnd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/д</w:t>
            </w:r>
          </w:p>
        </w:tc>
        <w:tc>
          <w:tcPr>
            <w:tcW w:w="1701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0,59</w:t>
            </w:r>
          </w:p>
        </w:tc>
        <w:tc>
          <w:tcPr>
            <w:tcW w:w="2735" w:type="dxa"/>
            <w:gridSpan w:val="2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0,1</w:t>
            </w:r>
          </w:p>
        </w:tc>
        <w:tc>
          <w:tcPr>
            <w:tcW w:w="1868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0,12</w:t>
            </w:r>
          </w:p>
        </w:tc>
      </w:tr>
      <w:tr w:rsidR="00B11FFF" w:rsidRPr="00837C49" w:rsidTr="00B11FFF">
        <w:tc>
          <w:tcPr>
            <w:tcW w:w="3552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left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proofErr w:type="spellStart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Hb</w:t>
            </w:r>
            <w:proofErr w:type="spellEnd"/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 xml:space="preserve"> г/д</w:t>
            </w:r>
          </w:p>
        </w:tc>
        <w:tc>
          <w:tcPr>
            <w:tcW w:w="1701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735" w:type="dxa"/>
            <w:gridSpan w:val="2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868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46</w:t>
            </w:r>
          </w:p>
        </w:tc>
      </w:tr>
      <w:tr w:rsidR="00B11FFF" w:rsidRPr="00837C49" w:rsidTr="00B11FFF">
        <w:tc>
          <w:tcPr>
            <w:tcW w:w="3552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left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Лейкоциты в дозе</w:t>
            </w:r>
          </w:p>
        </w:tc>
        <w:tc>
          <w:tcPr>
            <w:tcW w:w="1701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0,15x10</w:t>
            </w: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vertAlign w:val="superscript"/>
                <w:lang w:eastAsia="ru-RU"/>
              </w:rPr>
              <w:t>9</w:t>
            </w:r>
          </w:p>
        </w:tc>
        <w:tc>
          <w:tcPr>
            <w:tcW w:w="2735" w:type="dxa"/>
            <w:gridSpan w:val="2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0,02x10</w:t>
            </w: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vertAlign w:val="superscript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0,09x10</w:t>
            </w: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vertAlign w:val="superscript"/>
                <w:lang w:eastAsia="ru-RU"/>
              </w:rPr>
              <w:t>9</w:t>
            </w:r>
          </w:p>
        </w:tc>
      </w:tr>
      <w:tr w:rsidR="00B11FFF" w:rsidRPr="00837C49" w:rsidTr="00B11FFF">
        <w:tc>
          <w:tcPr>
            <w:tcW w:w="3552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left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Гемолиз</w:t>
            </w:r>
          </w:p>
        </w:tc>
        <w:tc>
          <w:tcPr>
            <w:tcW w:w="1701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0,88%</w:t>
            </w:r>
          </w:p>
        </w:tc>
        <w:tc>
          <w:tcPr>
            <w:tcW w:w="2735" w:type="dxa"/>
            <w:gridSpan w:val="2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Отсутствует</w:t>
            </w:r>
          </w:p>
        </w:tc>
        <w:tc>
          <w:tcPr>
            <w:tcW w:w="1868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0,1</w:t>
            </w:r>
          </w:p>
        </w:tc>
      </w:tr>
      <w:tr w:rsidR="00837C49" w:rsidRPr="00837C49" w:rsidTr="00B11FFF">
        <w:tc>
          <w:tcPr>
            <w:tcW w:w="3552" w:type="dxa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left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Стерильность</w:t>
            </w:r>
          </w:p>
        </w:tc>
        <w:tc>
          <w:tcPr>
            <w:tcW w:w="6304" w:type="dxa"/>
            <w:gridSpan w:val="4"/>
            <w:tcBorders>
              <w:top w:val="single" w:sz="6" w:space="0" w:color="DBDCCA"/>
              <w:left w:val="single" w:sz="6" w:space="0" w:color="DBDCCA"/>
              <w:bottom w:val="single" w:sz="6" w:space="0" w:color="DBDCCA"/>
              <w:right w:val="single" w:sz="6" w:space="0" w:color="DBDC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C49" w:rsidRPr="00837C49" w:rsidRDefault="00837C49" w:rsidP="00837C49">
            <w:pPr>
              <w:jc w:val="center"/>
              <w:rPr>
                <w:rFonts w:ascii="Arial" w:eastAsia="Times New Roman" w:hAnsi="Arial" w:cs="Arial"/>
                <w:color w:val="3B3529"/>
                <w:sz w:val="20"/>
                <w:szCs w:val="20"/>
                <w:lang w:eastAsia="ru-RU"/>
              </w:rPr>
            </w:pPr>
            <w:r w:rsidRPr="00837C49">
              <w:rPr>
                <w:rFonts w:ascii="Arial" w:eastAsia="Times New Roman" w:hAnsi="Arial" w:cs="Arial"/>
                <w:color w:val="3B3529"/>
                <w:sz w:val="27"/>
                <w:szCs w:val="27"/>
                <w:lang w:eastAsia="ru-RU"/>
              </w:rPr>
              <w:t>стерильно</w:t>
            </w:r>
          </w:p>
        </w:tc>
      </w:tr>
    </w:tbl>
    <w:p w:rsidR="00837C49" w:rsidRPr="00837C49" w:rsidRDefault="00837C49" w:rsidP="00837C49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837C49">
        <w:rPr>
          <w:rFonts w:ascii="Times New Roman" w:eastAsia="Times New Roman" w:hAnsi="Times New Roman" w:cs="Times New Roman"/>
          <w:b/>
          <w:bCs/>
          <w:color w:val="3B3529"/>
          <w:sz w:val="27"/>
          <w:szCs w:val="27"/>
          <w:lang w:eastAsia="ru-RU"/>
        </w:rPr>
        <w:t>Таким образом</w:t>
      </w:r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, в лечебные учреждения города и области отпускаются только апробированные в лаборатории контроля качества размороженные компоненты. Оценке соответствия параметрам качества подвергается каждая доза полученных </w:t>
      </w:r>
      <w:proofErr w:type="spellStart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эритроцитсодержащих</w:t>
      </w:r>
      <w:proofErr w:type="spellEnd"/>
      <w:r w:rsidRPr="00837C49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сред.</w:t>
      </w:r>
    </w:p>
    <w:p w:rsidR="001D1F39" w:rsidRDefault="001D1F39"/>
    <w:sectPr w:rsidR="001D1F39" w:rsidSect="00B11FF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340"/>
    <w:multiLevelType w:val="multilevel"/>
    <w:tmpl w:val="CAE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115FA"/>
    <w:multiLevelType w:val="multilevel"/>
    <w:tmpl w:val="937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0C252E"/>
    <w:multiLevelType w:val="multilevel"/>
    <w:tmpl w:val="227E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9"/>
    <w:rsid w:val="001D1F39"/>
    <w:rsid w:val="00534E84"/>
    <w:rsid w:val="00790DF7"/>
    <w:rsid w:val="00837C49"/>
    <w:rsid w:val="00B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4"/>
  </w:style>
  <w:style w:type="paragraph" w:styleId="1">
    <w:name w:val="heading 1"/>
    <w:basedOn w:val="a"/>
    <w:link w:val="10"/>
    <w:uiPriority w:val="9"/>
    <w:qFormat/>
    <w:rsid w:val="00837C4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7C4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37C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7C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4"/>
  </w:style>
  <w:style w:type="paragraph" w:styleId="1">
    <w:name w:val="heading 1"/>
    <w:basedOn w:val="a"/>
    <w:link w:val="10"/>
    <w:uiPriority w:val="9"/>
    <w:qFormat/>
    <w:rsid w:val="00837C4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7C4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37C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7C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2024-04-22T06:18:00Z</dcterms:created>
  <dcterms:modified xsi:type="dcterms:W3CDTF">2024-04-23T05:00:00Z</dcterms:modified>
</cp:coreProperties>
</file>